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506" w:rsidRPr="000D6506" w:rsidRDefault="000D6506" w:rsidP="0043568F">
      <w:pPr>
        <w:shd w:val="clear" w:color="auto" w:fill="FFFFFF"/>
        <w:spacing w:before="180" w:after="180" w:line="480" w:lineRule="auto"/>
        <w:ind w:firstLine="720"/>
        <w:jc w:val="center"/>
        <w:rPr>
          <w:rFonts w:ascii="Times New Roman" w:hAnsi="Times New Roman" w:cs="Times New Roman"/>
          <w:b/>
          <w:sz w:val="24"/>
          <w:szCs w:val="24"/>
        </w:rPr>
      </w:pPr>
      <w:r w:rsidRPr="000D6506">
        <w:rPr>
          <w:rFonts w:ascii="Times New Roman" w:hAnsi="Times New Roman" w:cs="Times New Roman"/>
          <w:b/>
          <w:sz w:val="24"/>
          <w:szCs w:val="24"/>
        </w:rPr>
        <w:t>Discussion:</w:t>
      </w:r>
      <w:bookmarkStart w:id="0" w:name="_GoBack"/>
      <w:bookmarkEnd w:id="0"/>
      <w:r w:rsidRPr="000D6506">
        <w:rPr>
          <w:rFonts w:ascii="Times New Roman" w:hAnsi="Times New Roman" w:cs="Times New Roman"/>
          <w:b/>
          <w:sz w:val="24"/>
          <w:szCs w:val="24"/>
        </w:rPr>
        <w:t xml:space="preserve"> Memory Research and Eyewitness Testimony</w:t>
      </w:r>
    </w:p>
    <w:p w:rsidR="00415B6B" w:rsidRPr="000D6506" w:rsidRDefault="0043568F" w:rsidP="00BB1EA1">
      <w:pPr>
        <w:shd w:val="clear" w:color="auto" w:fill="FFFFFF"/>
        <w:spacing w:before="180" w:after="180" w:line="480" w:lineRule="auto"/>
        <w:ind w:firstLine="720"/>
        <w:rPr>
          <w:rFonts w:asciiTheme="majorBidi" w:eastAsia="Times New Roman" w:hAnsiTheme="majorBidi" w:cstheme="majorBidi"/>
          <w:sz w:val="24"/>
          <w:szCs w:val="24"/>
        </w:rPr>
      </w:pPr>
      <w:r w:rsidRPr="000D6506">
        <w:rPr>
          <w:rFonts w:asciiTheme="majorBidi" w:eastAsia="Times New Roman" w:hAnsiTheme="majorBidi" w:cstheme="majorBidi"/>
          <w:sz w:val="24"/>
          <w:szCs w:val="24"/>
        </w:rPr>
        <w:t xml:space="preserve">Beniah Dandridge is the name of the person who committed a crime. He spent </w:t>
      </w:r>
      <w:r w:rsidRPr="000D6506">
        <w:rPr>
          <w:rFonts w:asciiTheme="majorBidi" w:eastAsia="Times New Roman" w:hAnsiTheme="majorBidi" w:cstheme="majorBidi"/>
          <w:sz w:val="24"/>
          <w:szCs w:val="24"/>
        </w:rPr>
        <w:t>20 years in prison.</w:t>
      </w:r>
      <w:r w:rsidRPr="000D6506">
        <w:rPr>
          <w:rFonts w:asciiTheme="majorBidi" w:eastAsia="Times New Roman" w:hAnsiTheme="majorBidi" w:cstheme="majorBidi"/>
          <w:sz w:val="24"/>
          <w:szCs w:val="24"/>
        </w:rPr>
        <w:t xml:space="preserve"> However, he was released on the 1</w:t>
      </w:r>
      <w:r w:rsidRPr="000D6506">
        <w:rPr>
          <w:rFonts w:asciiTheme="majorBidi" w:eastAsia="Times New Roman" w:hAnsiTheme="majorBidi" w:cstheme="majorBidi"/>
          <w:sz w:val="24"/>
          <w:szCs w:val="24"/>
          <w:vertAlign w:val="superscript"/>
        </w:rPr>
        <w:t>st</w:t>
      </w:r>
      <w:r w:rsidRPr="000D6506">
        <w:rPr>
          <w:rFonts w:asciiTheme="majorBidi" w:eastAsia="Times New Roman" w:hAnsiTheme="majorBidi" w:cstheme="majorBidi"/>
          <w:sz w:val="24"/>
          <w:szCs w:val="24"/>
        </w:rPr>
        <w:t xml:space="preserve"> of October 2015</w:t>
      </w:r>
      <w:r w:rsidR="000D6506" w:rsidRPr="000D6506">
        <w:rPr>
          <w:rFonts w:asciiTheme="majorBidi" w:eastAsia="Times New Roman" w:hAnsiTheme="majorBidi" w:cstheme="majorBidi"/>
          <w:sz w:val="24"/>
          <w:szCs w:val="24"/>
        </w:rPr>
        <w:t xml:space="preserve"> a</w:t>
      </w:r>
      <w:r w:rsidRPr="000D6506">
        <w:rPr>
          <w:rFonts w:asciiTheme="majorBidi" w:eastAsia="Times New Roman" w:hAnsiTheme="majorBidi" w:cstheme="majorBidi"/>
          <w:sz w:val="24"/>
          <w:szCs w:val="24"/>
        </w:rPr>
        <w:t xml:space="preserve">fter evidence proving his innocence was presented before the court of law. Initially, he was accused of the murder of </w:t>
      </w:r>
      <w:r w:rsidRPr="000D6506">
        <w:rPr>
          <w:rFonts w:asciiTheme="majorBidi" w:eastAsia="Times New Roman" w:hAnsiTheme="majorBidi" w:cstheme="majorBidi"/>
          <w:sz w:val="24"/>
          <w:szCs w:val="24"/>
        </w:rPr>
        <w:t xml:space="preserve">Riley Manning Sr in Alabama. </w:t>
      </w:r>
    </w:p>
    <w:p w:rsidR="00415B6B" w:rsidRPr="000D6506" w:rsidRDefault="0043568F" w:rsidP="00BB1EA1">
      <w:pPr>
        <w:shd w:val="clear" w:color="auto" w:fill="FFFFFF"/>
        <w:spacing w:before="180" w:after="180" w:line="480" w:lineRule="auto"/>
        <w:ind w:firstLine="720"/>
        <w:rPr>
          <w:rFonts w:asciiTheme="majorBidi" w:eastAsia="Times New Roman" w:hAnsiTheme="majorBidi" w:cstheme="majorBidi"/>
          <w:sz w:val="24"/>
          <w:szCs w:val="24"/>
        </w:rPr>
      </w:pPr>
      <w:r w:rsidRPr="000D6506">
        <w:rPr>
          <w:rFonts w:asciiTheme="majorBidi" w:eastAsia="Times New Roman" w:hAnsiTheme="majorBidi" w:cstheme="majorBidi"/>
          <w:sz w:val="24"/>
          <w:szCs w:val="24"/>
        </w:rPr>
        <w:t xml:space="preserve">The original conviction of the individual relied </w:t>
      </w:r>
      <w:r w:rsidRPr="000D6506">
        <w:rPr>
          <w:rFonts w:asciiTheme="majorBidi" w:eastAsia="Times New Roman" w:hAnsiTheme="majorBidi" w:cstheme="majorBidi"/>
          <w:sz w:val="24"/>
          <w:szCs w:val="24"/>
        </w:rPr>
        <w:t xml:space="preserve">on faulty eye witness testimonies. </w:t>
      </w:r>
      <w:r w:rsidR="000D6506">
        <w:rPr>
          <w:rFonts w:asciiTheme="majorBidi" w:eastAsia="Times New Roman" w:hAnsiTheme="majorBidi" w:cstheme="majorBidi"/>
          <w:sz w:val="24"/>
          <w:szCs w:val="24"/>
        </w:rPr>
        <w:t>The evidence that was used by the trial court was a false eye witness testimony by a</w:t>
      </w:r>
      <w:r w:rsidRPr="000D6506">
        <w:rPr>
          <w:rFonts w:asciiTheme="majorBidi" w:eastAsia="Times New Roman" w:hAnsiTheme="majorBidi" w:cstheme="majorBidi"/>
          <w:sz w:val="24"/>
          <w:szCs w:val="24"/>
        </w:rPr>
        <w:t xml:space="preserve"> </w:t>
      </w:r>
      <w:r w:rsidRPr="000D6506">
        <w:rPr>
          <w:rFonts w:asciiTheme="majorBidi" w:eastAsia="Times New Roman" w:hAnsiTheme="majorBidi" w:cstheme="majorBidi"/>
          <w:sz w:val="24"/>
          <w:szCs w:val="24"/>
        </w:rPr>
        <w:t>j</w:t>
      </w:r>
      <w:r w:rsidRPr="000D6506">
        <w:rPr>
          <w:rFonts w:asciiTheme="majorBidi" w:eastAsia="Times New Roman" w:hAnsiTheme="majorBidi" w:cstheme="majorBidi"/>
          <w:sz w:val="24"/>
          <w:szCs w:val="24"/>
        </w:rPr>
        <w:t>a</w:t>
      </w:r>
      <w:r w:rsidRPr="000D6506">
        <w:rPr>
          <w:rFonts w:asciiTheme="majorBidi" w:eastAsia="Times New Roman" w:hAnsiTheme="majorBidi" w:cstheme="majorBidi"/>
          <w:sz w:val="24"/>
          <w:szCs w:val="24"/>
        </w:rPr>
        <w:t>i</w:t>
      </w:r>
      <w:r w:rsidRPr="000D6506">
        <w:rPr>
          <w:rFonts w:asciiTheme="majorBidi" w:eastAsia="Times New Roman" w:hAnsiTheme="majorBidi" w:cstheme="majorBidi"/>
          <w:sz w:val="24"/>
          <w:szCs w:val="24"/>
        </w:rPr>
        <w:t>l</w:t>
      </w:r>
      <w:r w:rsidRPr="000D6506">
        <w:rPr>
          <w:rFonts w:asciiTheme="majorBidi" w:eastAsia="Times New Roman" w:hAnsiTheme="majorBidi" w:cstheme="majorBidi"/>
          <w:sz w:val="24"/>
          <w:szCs w:val="24"/>
        </w:rPr>
        <w:t>h</w:t>
      </w:r>
      <w:r w:rsidRPr="000D6506">
        <w:rPr>
          <w:rFonts w:asciiTheme="majorBidi" w:eastAsia="Times New Roman" w:hAnsiTheme="majorBidi" w:cstheme="majorBidi"/>
          <w:sz w:val="24"/>
          <w:szCs w:val="24"/>
        </w:rPr>
        <w:t>o</w:t>
      </w:r>
      <w:r w:rsidRPr="000D6506">
        <w:rPr>
          <w:rFonts w:asciiTheme="majorBidi" w:eastAsia="Times New Roman" w:hAnsiTheme="majorBidi" w:cstheme="majorBidi"/>
          <w:sz w:val="24"/>
          <w:szCs w:val="24"/>
        </w:rPr>
        <w:t>u</w:t>
      </w:r>
      <w:r w:rsidRPr="000D6506">
        <w:rPr>
          <w:rFonts w:asciiTheme="majorBidi" w:eastAsia="Times New Roman" w:hAnsiTheme="majorBidi" w:cstheme="majorBidi"/>
          <w:sz w:val="24"/>
          <w:szCs w:val="24"/>
        </w:rPr>
        <w:t>s</w:t>
      </w:r>
      <w:r w:rsidRPr="000D6506">
        <w:rPr>
          <w:rFonts w:asciiTheme="majorBidi" w:eastAsia="Times New Roman" w:hAnsiTheme="majorBidi" w:cstheme="majorBidi"/>
          <w:sz w:val="24"/>
          <w:szCs w:val="24"/>
        </w:rPr>
        <w:t>e</w:t>
      </w:r>
      <w:r w:rsidRPr="000D6506">
        <w:rPr>
          <w:rFonts w:asciiTheme="majorBidi" w:eastAsia="Times New Roman" w:hAnsiTheme="majorBidi" w:cstheme="majorBidi"/>
          <w:sz w:val="24"/>
          <w:szCs w:val="24"/>
        </w:rPr>
        <w:t xml:space="preserve"> </w:t>
      </w:r>
      <w:r w:rsidRPr="000D6506">
        <w:rPr>
          <w:rFonts w:asciiTheme="majorBidi" w:eastAsia="Times New Roman" w:hAnsiTheme="majorBidi" w:cstheme="majorBidi"/>
          <w:sz w:val="24"/>
          <w:szCs w:val="24"/>
        </w:rPr>
        <w:t>informant who traded for a reduced sentence in a pending case. Additionally, despite the evidence of him being wrongfully convicted and amicable conduct while in prison, the Alabama Board of paroles and pardons denied Dandridge parole two ti</w:t>
      </w:r>
      <w:r w:rsidRPr="000D6506">
        <w:rPr>
          <w:rFonts w:asciiTheme="majorBidi" w:eastAsia="Times New Roman" w:hAnsiTheme="majorBidi" w:cstheme="majorBidi"/>
          <w:sz w:val="24"/>
          <w:szCs w:val="24"/>
        </w:rPr>
        <w:t xml:space="preserve">mes. </w:t>
      </w:r>
    </w:p>
    <w:p w:rsidR="00415B6B" w:rsidRPr="000D6506" w:rsidRDefault="0043568F" w:rsidP="00BB1EA1">
      <w:pPr>
        <w:shd w:val="clear" w:color="auto" w:fill="FFFFFF"/>
        <w:spacing w:before="180" w:after="180" w:line="480" w:lineRule="auto"/>
        <w:ind w:firstLine="720"/>
        <w:rPr>
          <w:rFonts w:asciiTheme="majorBidi" w:eastAsia="Times New Roman" w:hAnsiTheme="majorBidi" w:cstheme="majorBidi"/>
          <w:sz w:val="24"/>
          <w:szCs w:val="24"/>
        </w:rPr>
      </w:pPr>
      <w:r w:rsidRPr="000D6506">
        <w:rPr>
          <w:rFonts w:asciiTheme="majorBidi" w:eastAsia="Times New Roman" w:hAnsiTheme="majorBidi" w:cstheme="majorBidi"/>
          <w:sz w:val="24"/>
          <w:szCs w:val="24"/>
        </w:rPr>
        <w:t>Eye witness testimonies are solely</w:t>
      </w:r>
      <w:r w:rsidR="009D0DB8" w:rsidRPr="000D6506">
        <w:rPr>
          <w:rFonts w:asciiTheme="majorBidi" w:eastAsia="Times New Roman" w:hAnsiTheme="majorBidi" w:cstheme="majorBidi"/>
          <w:sz w:val="24"/>
          <w:szCs w:val="24"/>
        </w:rPr>
        <w:t xml:space="preserve"> based on human-based discernmen</w:t>
      </w:r>
      <w:r w:rsidRPr="000D6506">
        <w:rPr>
          <w:rFonts w:asciiTheme="majorBidi" w:eastAsia="Times New Roman" w:hAnsiTheme="majorBidi" w:cstheme="majorBidi"/>
          <w:sz w:val="24"/>
          <w:szCs w:val="24"/>
        </w:rPr>
        <w:t>t. Therefore, they can be easily distorted and proven malleable without conscious leading to erroneous identification. Besides, it is among the major cause of false convictions experie</w:t>
      </w:r>
      <w:r w:rsidRPr="000D6506">
        <w:rPr>
          <w:rFonts w:asciiTheme="majorBidi" w:eastAsia="Times New Roman" w:hAnsiTheme="majorBidi" w:cstheme="majorBidi"/>
          <w:sz w:val="24"/>
          <w:szCs w:val="24"/>
        </w:rPr>
        <w:t>nced today</w:t>
      </w:r>
      <w:r w:rsidR="00BB1EA1" w:rsidRPr="000D6506">
        <w:rPr>
          <w:rFonts w:asciiTheme="majorBidi" w:eastAsia="Times New Roman" w:hAnsiTheme="majorBidi" w:cstheme="majorBidi"/>
          <w:sz w:val="24"/>
          <w:szCs w:val="24"/>
        </w:rPr>
        <w:t xml:space="preserve"> (Carl, 2020)</w:t>
      </w:r>
      <w:r w:rsidRPr="000D6506">
        <w:rPr>
          <w:rFonts w:asciiTheme="majorBidi" w:eastAsia="Times New Roman" w:hAnsiTheme="majorBidi" w:cstheme="majorBidi"/>
          <w:sz w:val="24"/>
          <w:szCs w:val="24"/>
        </w:rPr>
        <w:t>. However, research conducted over decades indicates that even though witnesses can be confident in their memory abilities, the nature of human memory and visuals causes eyewitness testimonies to be reliable.  Essentially, while usin</w:t>
      </w:r>
      <w:r w:rsidRPr="000D6506">
        <w:rPr>
          <w:rFonts w:asciiTheme="majorBidi" w:eastAsia="Times New Roman" w:hAnsiTheme="majorBidi" w:cstheme="majorBidi"/>
          <w:sz w:val="24"/>
          <w:szCs w:val="24"/>
        </w:rPr>
        <w:t>g such testimonies in trials, lineups are recommended. Courts should ensure there is only one suspect per procedure. In the case above, unbiased witness instructions would have been omitted. This means a person who has committed an offense should not be co</w:t>
      </w:r>
      <w:r w:rsidRPr="000D6506">
        <w:rPr>
          <w:rFonts w:asciiTheme="majorBidi" w:eastAsia="Times New Roman" w:hAnsiTheme="majorBidi" w:cstheme="majorBidi"/>
          <w:sz w:val="24"/>
          <w:szCs w:val="24"/>
        </w:rPr>
        <w:t xml:space="preserve">nsidered an eyewitness. </w:t>
      </w:r>
    </w:p>
    <w:p w:rsidR="009D0DB8" w:rsidRPr="000D6506" w:rsidRDefault="0043568F" w:rsidP="00BB1EA1">
      <w:pPr>
        <w:shd w:val="clear" w:color="auto" w:fill="FFFFFF"/>
        <w:spacing w:before="180" w:after="180" w:line="480" w:lineRule="auto"/>
        <w:ind w:firstLine="720"/>
        <w:rPr>
          <w:rFonts w:asciiTheme="majorBidi" w:eastAsia="Times New Roman" w:hAnsiTheme="majorBidi" w:cstheme="majorBidi"/>
          <w:sz w:val="24"/>
          <w:szCs w:val="24"/>
        </w:rPr>
      </w:pPr>
      <w:r w:rsidRPr="000D6506">
        <w:rPr>
          <w:rFonts w:asciiTheme="majorBidi" w:eastAsia="Times New Roman" w:hAnsiTheme="majorBidi" w:cstheme="majorBidi"/>
          <w:sz w:val="24"/>
          <w:szCs w:val="24"/>
        </w:rPr>
        <w:t>If I had the opportunity to be a legal trial attorney, I would impose various measures in testing the credibility of eyewitness testimonies.  I will ensure to carry out a statement analysis incorporating fabricated statements in th</w:t>
      </w:r>
      <w:r w:rsidRPr="000D6506">
        <w:rPr>
          <w:rFonts w:asciiTheme="majorBidi" w:eastAsia="Times New Roman" w:hAnsiTheme="majorBidi" w:cstheme="majorBidi"/>
          <w:sz w:val="24"/>
          <w:szCs w:val="24"/>
        </w:rPr>
        <w:t xml:space="preserve">e procedure. Additionally, I would come up with a </w:t>
      </w:r>
      <w:r w:rsidRPr="000D6506">
        <w:rPr>
          <w:rFonts w:asciiTheme="majorBidi" w:eastAsia="Times New Roman" w:hAnsiTheme="majorBidi" w:cstheme="majorBidi"/>
          <w:sz w:val="24"/>
          <w:szCs w:val="24"/>
        </w:rPr>
        <w:lastRenderedPageBreak/>
        <w:t xml:space="preserve">memory questionnaire from time to time to make sure that the witness's story adds up at all times. </w:t>
      </w: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9D0DB8" w:rsidRPr="000D6506" w:rsidRDefault="009D0DB8" w:rsidP="00BB1EA1">
      <w:pPr>
        <w:shd w:val="clear" w:color="auto" w:fill="FFFFFF"/>
        <w:spacing w:before="180" w:after="180" w:line="480" w:lineRule="auto"/>
        <w:rPr>
          <w:rFonts w:asciiTheme="majorBidi" w:eastAsia="Times New Roman" w:hAnsiTheme="majorBidi" w:cstheme="majorBidi"/>
          <w:sz w:val="24"/>
          <w:szCs w:val="24"/>
        </w:rPr>
      </w:pPr>
    </w:p>
    <w:p w:rsidR="00BB1EA1" w:rsidRPr="000D6506" w:rsidRDefault="00BB1EA1" w:rsidP="00BB1EA1">
      <w:pPr>
        <w:spacing w:after="0" w:line="480" w:lineRule="auto"/>
        <w:rPr>
          <w:rFonts w:asciiTheme="majorBidi" w:eastAsia="Times New Roman" w:hAnsiTheme="majorBidi" w:cstheme="majorBidi"/>
          <w:sz w:val="24"/>
          <w:szCs w:val="24"/>
        </w:rPr>
      </w:pPr>
    </w:p>
    <w:p w:rsidR="00BB1EA1" w:rsidRPr="000D6506" w:rsidRDefault="00BB1EA1" w:rsidP="00BB1EA1">
      <w:pPr>
        <w:spacing w:after="0" w:line="480" w:lineRule="auto"/>
        <w:jc w:val="center"/>
        <w:rPr>
          <w:rFonts w:ascii="Times New Roman" w:eastAsia="Times New Roman" w:hAnsi="Times New Roman" w:cs="Times New Roman"/>
          <w:sz w:val="24"/>
          <w:szCs w:val="24"/>
        </w:rPr>
      </w:pPr>
    </w:p>
    <w:p w:rsidR="00BB1EA1" w:rsidRPr="000D6506" w:rsidRDefault="00BB1EA1" w:rsidP="00BB1EA1">
      <w:pPr>
        <w:spacing w:after="0" w:line="480" w:lineRule="auto"/>
        <w:jc w:val="center"/>
        <w:rPr>
          <w:rFonts w:ascii="Times New Roman" w:eastAsia="Times New Roman" w:hAnsi="Times New Roman" w:cs="Times New Roman"/>
          <w:sz w:val="24"/>
          <w:szCs w:val="24"/>
        </w:rPr>
      </w:pPr>
    </w:p>
    <w:p w:rsidR="00BB1EA1" w:rsidRPr="000D6506" w:rsidRDefault="00BB1EA1" w:rsidP="00BB1EA1">
      <w:pPr>
        <w:spacing w:after="0" w:line="480" w:lineRule="auto"/>
        <w:jc w:val="center"/>
        <w:rPr>
          <w:rFonts w:ascii="Times New Roman" w:eastAsia="Times New Roman" w:hAnsi="Times New Roman" w:cs="Times New Roman"/>
          <w:sz w:val="24"/>
          <w:szCs w:val="24"/>
        </w:rPr>
      </w:pPr>
    </w:p>
    <w:p w:rsidR="00BB1EA1" w:rsidRPr="000D6506" w:rsidRDefault="00BB1EA1" w:rsidP="00BB1EA1">
      <w:pPr>
        <w:spacing w:after="0" w:line="480" w:lineRule="auto"/>
        <w:jc w:val="center"/>
        <w:rPr>
          <w:rFonts w:ascii="Times New Roman" w:eastAsia="Times New Roman" w:hAnsi="Times New Roman" w:cs="Times New Roman"/>
          <w:sz w:val="24"/>
          <w:szCs w:val="24"/>
        </w:rPr>
      </w:pPr>
    </w:p>
    <w:p w:rsidR="00BB1EA1" w:rsidRPr="000D6506" w:rsidRDefault="00BB1EA1" w:rsidP="00BB1EA1">
      <w:pPr>
        <w:spacing w:after="0" w:line="480" w:lineRule="auto"/>
        <w:jc w:val="center"/>
        <w:rPr>
          <w:rFonts w:ascii="Times New Roman" w:eastAsia="Times New Roman" w:hAnsi="Times New Roman" w:cs="Times New Roman"/>
          <w:sz w:val="24"/>
          <w:szCs w:val="24"/>
        </w:rPr>
      </w:pPr>
    </w:p>
    <w:p w:rsidR="00D502E3" w:rsidRDefault="00D502E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B1EA1" w:rsidRPr="000D6506" w:rsidRDefault="0043568F" w:rsidP="00BB1EA1">
      <w:pPr>
        <w:spacing w:after="0" w:line="480" w:lineRule="auto"/>
        <w:jc w:val="center"/>
        <w:rPr>
          <w:rFonts w:ascii="Times New Roman" w:eastAsia="Times New Roman" w:hAnsi="Times New Roman" w:cs="Times New Roman"/>
          <w:sz w:val="24"/>
          <w:szCs w:val="24"/>
        </w:rPr>
      </w:pPr>
      <w:r w:rsidRPr="000D6506">
        <w:rPr>
          <w:rFonts w:ascii="Times New Roman" w:eastAsia="Times New Roman" w:hAnsi="Times New Roman" w:cs="Times New Roman"/>
          <w:sz w:val="24"/>
          <w:szCs w:val="24"/>
        </w:rPr>
        <w:lastRenderedPageBreak/>
        <w:t>References</w:t>
      </w:r>
    </w:p>
    <w:p w:rsidR="004A572C" w:rsidRPr="00D502E3" w:rsidRDefault="0043568F" w:rsidP="00D502E3">
      <w:pPr>
        <w:spacing w:after="0" w:line="480" w:lineRule="auto"/>
        <w:ind w:left="720" w:hanging="720"/>
        <w:rPr>
          <w:rFonts w:ascii="Times New Roman" w:eastAsia="Times New Roman" w:hAnsi="Times New Roman" w:cs="Times New Roman"/>
          <w:sz w:val="24"/>
          <w:szCs w:val="24"/>
        </w:rPr>
      </w:pPr>
      <w:r w:rsidRPr="000D6506">
        <w:rPr>
          <w:rFonts w:ascii="Times New Roman" w:eastAsia="Times New Roman" w:hAnsi="Times New Roman" w:cs="Times New Roman"/>
          <w:sz w:val="24"/>
          <w:szCs w:val="24"/>
        </w:rPr>
        <w:t xml:space="preserve">Carl, A. E. (2020). Dead wrong: Capital punishment, wrongful convictions, and serious mental illness. </w:t>
      </w:r>
      <w:r w:rsidRPr="000D6506">
        <w:rPr>
          <w:rFonts w:ascii="Times New Roman" w:eastAsia="Times New Roman" w:hAnsi="Times New Roman" w:cs="Times New Roman"/>
          <w:i/>
          <w:iCs/>
          <w:sz w:val="24"/>
          <w:szCs w:val="24"/>
        </w:rPr>
        <w:t>The Wrongful Conviction Law Review</w:t>
      </w:r>
      <w:r w:rsidRPr="000D6506">
        <w:rPr>
          <w:rFonts w:ascii="Times New Roman" w:eastAsia="Times New Roman" w:hAnsi="Times New Roman" w:cs="Times New Roman"/>
          <w:sz w:val="24"/>
          <w:szCs w:val="24"/>
        </w:rPr>
        <w:t xml:space="preserve">, </w:t>
      </w:r>
      <w:r w:rsidRPr="000D6506">
        <w:rPr>
          <w:rFonts w:ascii="Times New Roman" w:eastAsia="Times New Roman" w:hAnsi="Times New Roman" w:cs="Times New Roman"/>
          <w:i/>
          <w:iCs/>
          <w:sz w:val="24"/>
          <w:szCs w:val="24"/>
        </w:rPr>
        <w:t>1</w:t>
      </w:r>
      <w:r w:rsidRPr="000D6506">
        <w:rPr>
          <w:rFonts w:ascii="Times New Roman" w:eastAsia="Times New Roman" w:hAnsi="Times New Roman" w:cs="Times New Roman"/>
          <w:sz w:val="24"/>
          <w:szCs w:val="24"/>
        </w:rPr>
        <w:t>(3), 336–363. https://doi.org/10.29173/wclawr16</w:t>
      </w:r>
    </w:p>
    <w:p w:rsidR="004A572C" w:rsidRPr="000D6506" w:rsidRDefault="004A572C" w:rsidP="00BB1EA1">
      <w:pPr>
        <w:spacing w:after="0" w:line="480" w:lineRule="auto"/>
        <w:jc w:val="both"/>
        <w:rPr>
          <w:rFonts w:ascii="Times New Roman" w:hAnsi="Times New Roman" w:cs="Times New Roman"/>
          <w:sz w:val="24"/>
          <w:szCs w:val="24"/>
        </w:rPr>
      </w:pPr>
    </w:p>
    <w:p w:rsidR="004A572C" w:rsidRPr="000D6506" w:rsidRDefault="004A572C" w:rsidP="00BB1EA1">
      <w:pPr>
        <w:spacing w:after="0" w:line="480" w:lineRule="auto"/>
        <w:jc w:val="both"/>
        <w:rPr>
          <w:rFonts w:ascii="Times New Roman" w:hAnsi="Times New Roman" w:cs="Times New Roman"/>
          <w:sz w:val="24"/>
          <w:szCs w:val="24"/>
        </w:rPr>
      </w:pPr>
    </w:p>
    <w:p w:rsidR="00E74D66" w:rsidRPr="000D6506" w:rsidRDefault="00E74D66" w:rsidP="00BB1EA1">
      <w:pPr>
        <w:spacing w:after="0" w:line="480" w:lineRule="auto"/>
        <w:jc w:val="both"/>
        <w:rPr>
          <w:rFonts w:ascii="Times New Roman" w:hAnsi="Times New Roman" w:cs="Times New Roman"/>
          <w:sz w:val="24"/>
          <w:szCs w:val="24"/>
        </w:rPr>
      </w:pPr>
    </w:p>
    <w:sectPr w:rsidR="00E74D66" w:rsidRPr="000D6506" w:rsidSect="008649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3568F">
      <w:pPr>
        <w:spacing w:after="0" w:line="240" w:lineRule="auto"/>
      </w:pPr>
      <w:r>
        <w:separator/>
      </w:r>
    </w:p>
  </w:endnote>
  <w:endnote w:type="continuationSeparator" w:id="0">
    <w:p w:rsidR="00000000" w:rsidRDefault="004356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3568F">
      <w:pPr>
        <w:spacing w:after="0" w:line="240" w:lineRule="auto"/>
      </w:pPr>
      <w:r>
        <w:separator/>
      </w:r>
    </w:p>
  </w:footnote>
  <w:footnote w:type="continuationSeparator" w:id="0">
    <w:p w:rsidR="00000000" w:rsidRDefault="004356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590"/>
      <w:docPartObj>
        <w:docPartGallery w:val="Page Numbers (Top of Page)"/>
        <w:docPartUnique/>
      </w:docPartObj>
    </w:sdtPr>
    <w:sdtEndPr>
      <w:rPr>
        <w:rFonts w:ascii="Times New Roman" w:hAnsi="Times New Roman" w:cs="Times New Roman"/>
        <w:sz w:val="24"/>
        <w:szCs w:val="24"/>
      </w:rPr>
    </w:sdtEndPr>
    <w:sdtContent>
      <w:p w:rsidR="00B96F2B" w:rsidRPr="00D72EC6" w:rsidRDefault="0043568F" w:rsidP="00D72EC6">
        <w:pPr>
          <w:pStyle w:val="Header"/>
          <w:spacing w:line="480" w:lineRule="auto"/>
          <w:jc w:val="right"/>
          <w:rPr>
            <w:rFonts w:ascii="Times New Roman" w:hAnsi="Times New Roman" w:cs="Times New Roman"/>
            <w:sz w:val="24"/>
            <w:szCs w:val="24"/>
          </w:rPr>
        </w:pPr>
        <w:r w:rsidRPr="00D72EC6">
          <w:rPr>
            <w:rFonts w:ascii="Times New Roman" w:hAnsi="Times New Roman" w:cs="Times New Roman"/>
            <w:sz w:val="24"/>
            <w:szCs w:val="24"/>
          </w:rPr>
          <w:fldChar w:fldCharType="begin"/>
        </w:r>
        <w:r w:rsidRPr="00D72EC6">
          <w:rPr>
            <w:rFonts w:ascii="Times New Roman" w:hAnsi="Times New Roman" w:cs="Times New Roman"/>
            <w:sz w:val="24"/>
            <w:szCs w:val="24"/>
          </w:rPr>
          <w:instrText xml:space="preserve"> PAGE   \* MERGEFORMAT </w:instrText>
        </w:r>
        <w:r w:rsidRPr="00D72EC6">
          <w:rPr>
            <w:rFonts w:ascii="Times New Roman" w:hAnsi="Times New Roman" w:cs="Times New Roman"/>
            <w:sz w:val="24"/>
            <w:szCs w:val="24"/>
          </w:rPr>
          <w:fldChar w:fldCharType="separate"/>
        </w:r>
        <w:r w:rsidR="00BB1EA1">
          <w:rPr>
            <w:rFonts w:ascii="Times New Roman" w:hAnsi="Times New Roman" w:cs="Times New Roman"/>
            <w:noProof/>
            <w:sz w:val="24"/>
            <w:szCs w:val="24"/>
          </w:rPr>
          <w:t>1</w:t>
        </w:r>
        <w:r w:rsidRPr="00D72EC6">
          <w:rPr>
            <w:rFonts w:ascii="Times New Roman" w:hAnsi="Times New Roman" w:cs="Times New Roman"/>
            <w:sz w:val="24"/>
            <w:szCs w:val="24"/>
          </w:rPr>
          <w:fldChar w:fldCharType="end"/>
        </w:r>
      </w:p>
    </w:sdtContent>
  </w:sdt>
  <w:p w:rsidR="00B96F2B" w:rsidRDefault="00B96F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2NjE1sjQyNLAwNjFU0lEKTi0uzszPAykwrAUAhbm71iwAAAA="/>
  </w:docVars>
  <w:rsids>
    <w:rsidRoot w:val="005136EA"/>
    <w:rsid w:val="00004E64"/>
    <w:rsid w:val="00031978"/>
    <w:rsid w:val="00041113"/>
    <w:rsid w:val="000D6506"/>
    <w:rsid w:val="000D7E80"/>
    <w:rsid w:val="001E4035"/>
    <w:rsid w:val="001E4B34"/>
    <w:rsid w:val="001E60DE"/>
    <w:rsid w:val="00220D5A"/>
    <w:rsid w:val="00234CFF"/>
    <w:rsid w:val="002A320C"/>
    <w:rsid w:val="002E1BF7"/>
    <w:rsid w:val="002F66B9"/>
    <w:rsid w:val="00307089"/>
    <w:rsid w:val="00367372"/>
    <w:rsid w:val="00380A8B"/>
    <w:rsid w:val="003872DA"/>
    <w:rsid w:val="003B1E38"/>
    <w:rsid w:val="003B265E"/>
    <w:rsid w:val="003F10C6"/>
    <w:rsid w:val="00415B6B"/>
    <w:rsid w:val="0043568F"/>
    <w:rsid w:val="00461B44"/>
    <w:rsid w:val="004709BB"/>
    <w:rsid w:val="004A572C"/>
    <w:rsid w:val="004B6837"/>
    <w:rsid w:val="00501ECE"/>
    <w:rsid w:val="005136EA"/>
    <w:rsid w:val="00666608"/>
    <w:rsid w:val="006674B3"/>
    <w:rsid w:val="00737158"/>
    <w:rsid w:val="007601B6"/>
    <w:rsid w:val="00772979"/>
    <w:rsid w:val="00772D28"/>
    <w:rsid w:val="00782D60"/>
    <w:rsid w:val="00791D67"/>
    <w:rsid w:val="008168D4"/>
    <w:rsid w:val="00864968"/>
    <w:rsid w:val="00892EE5"/>
    <w:rsid w:val="008E17A3"/>
    <w:rsid w:val="00955564"/>
    <w:rsid w:val="009715E9"/>
    <w:rsid w:val="0099268D"/>
    <w:rsid w:val="0099398E"/>
    <w:rsid w:val="009A37FD"/>
    <w:rsid w:val="009C5C2E"/>
    <w:rsid w:val="009D0DB8"/>
    <w:rsid w:val="009E4E49"/>
    <w:rsid w:val="00A47196"/>
    <w:rsid w:val="00A75099"/>
    <w:rsid w:val="00AC09C2"/>
    <w:rsid w:val="00B67CBF"/>
    <w:rsid w:val="00B913C5"/>
    <w:rsid w:val="00B96F2B"/>
    <w:rsid w:val="00BB1EA1"/>
    <w:rsid w:val="00BB6157"/>
    <w:rsid w:val="00BE0A6A"/>
    <w:rsid w:val="00BE4969"/>
    <w:rsid w:val="00C2619F"/>
    <w:rsid w:val="00C415B6"/>
    <w:rsid w:val="00CD6825"/>
    <w:rsid w:val="00D502E3"/>
    <w:rsid w:val="00D72EC6"/>
    <w:rsid w:val="00D9776D"/>
    <w:rsid w:val="00DA11DD"/>
    <w:rsid w:val="00E4203A"/>
    <w:rsid w:val="00E74D66"/>
    <w:rsid w:val="00E92551"/>
    <w:rsid w:val="00EB1381"/>
    <w:rsid w:val="00EE2689"/>
    <w:rsid w:val="00EE5D93"/>
    <w:rsid w:val="00FF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A2C1"/>
  <w15:docId w15:val="{85D7FA3A-E840-476E-A8B9-3B6E3089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9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EC6"/>
    <w:rPr>
      <w:color w:val="0000FF" w:themeColor="hyperlink"/>
      <w:u w:val="single"/>
    </w:rPr>
  </w:style>
  <w:style w:type="paragraph" w:styleId="Header">
    <w:name w:val="header"/>
    <w:basedOn w:val="Normal"/>
    <w:link w:val="HeaderChar"/>
    <w:uiPriority w:val="99"/>
    <w:unhideWhenUsed/>
    <w:rsid w:val="00D72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EC6"/>
  </w:style>
  <w:style w:type="paragraph" w:styleId="Footer">
    <w:name w:val="footer"/>
    <w:basedOn w:val="Normal"/>
    <w:link w:val="FooterChar"/>
    <w:uiPriority w:val="99"/>
    <w:semiHidden/>
    <w:unhideWhenUsed/>
    <w:rsid w:val="00D72E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2EC6"/>
  </w:style>
  <w:style w:type="paragraph" w:styleId="NormalWeb">
    <w:name w:val="Normal (Web)"/>
    <w:basedOn w:val="Normal"/>
    <w:uiPriority w:val="99"/>
    <w:unhideWhenUsed/>
    <w:rsid w:val="00B913C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67372"/>
    <w:rPr>
      <w:sz w:val="16"/>
      <w:szCs w:val="16"/>
    </w:rPr>
  </w:style>
  <w:style w:type="paragraph" w:styleId="CommentText">
    <w:name w:val="annotation text"/>
    <w:basedOn w:val="Normal"/>
    <w:link w:val="CommentTextChar"/>
    <w:uiPriority w:val="99"/>
    <w:semiHidden/>
    <w:unhideWhenUsed/>
    <w:rsid w:val="00367372"/>
    <w:pPr>
      <w:spacing w:line="240" w:lineRule="auto"/>
    </w:pPr>
    <w:rPr>
      <w:sz w:val="20"/>
      <w:szCs w:val="20"/>
    </w:rPr>
  </w:style>
  <w:style w:type="character" w:customStyle="1" w:styleId="CommentTextChar">
    <w:name w:val="Comment Text Char"/>
    <w:basedOn w:val="DefaultParagraphFont"/>
    <w:link w:val="CommentText"/>
    <w:uiPriority w:val="99"/>
    <w:semiHidden/>
    <w:rsid w:val="00367372"/>
    <w:rPr>
      <w:sz w:val="20"/>
      <w:szCs w:val="20"/>
    </w:rPr>
  </w:style>
  <w:style w:type="paragraph" w:styleId="CommentSubject">
    <w:name w:val="annotation subject"/>
    <w:basedOn w:val="CommentText"/>
    <w:next w:val="CommentText"/>
    <w:link w:val="CommentSubjectChar"/>
    <w:uiPriority w:val="99"/>
    <w:semiHidden/>
    <w:unhideWhenUsed/>
    <w:rsid w:val="00367372"/>
    <w:rPr>
      <w:b/>
      <w:bCs/>
    </w:rPr>
  </w:style>
  <w:style w:type="character" w:customStyle="1" w:styleId="CommentSubjectChar">
    <w:name w:val="Comment Subject Char"/>
    <w:basedOn w:val="CommentTextChar"/>
    <w:link w:val="CommentSubject"/>
    <w:uiPriority w:val="99"/>
    <w:semiHidden/>
    <w:rsid w:val="00367372"/>
    <w:rPr>
      <w:b/>
      <w:bCs/>
      <w:sz w:val="20"/>
      <w:szCs w:val="20"/>
    </w:rPr>
  </w:style>
  <w:style w:type="paragraph" w:styleId="Revision">
    <w:name w:val="Revision"/>
    <w:hidden/>
    <w:uiPriority w:val="99"/>
    <w:semiHidden/>
    <w:rsid w:val="00367372"/>
    <w:pPr>
      <w:spacing w:after="0" w:line="240" w:lineRule="auto"/>
    </w:pPr>
  </w:style>
  <w:style w:type="paragraph" w:styleId="BalloonText">
    <w:name w:val="Balloon Text"/>
    <w:basedOn w:val="Normal"/>
    <w:link w:val="BalloonTextChar"/>
    <w:uiPriority w:val="99"/>
    <w:semiHidden/>
    <w:unhideWhenUsed/>
    <w:rsid w:val="003673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3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5239-66D1-412F-A784-097F95402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brayoh</dc:creator>
  <cp:lastModifiedBy>User</cp:lastModifiedBy>
  <cp:revision>4</cp:revision>
  <dcterms:created xsi:type="dcterms:W3CDTF">2021-09-28T20:36:00Z</dcterms:created>
  <dcterms:modified xsi:type="dcterms:W3CDTF">2021-09-28T20:38:00Z</dcterms:modified>
</cp:coreProperties>
</file>